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1C1380">
        <w:rPr>
          <w:rFonts w:ascii="Times New Roman" w:eastAsiaTheme="minorEastAsia" w:hAnsi="Times New Roman" w:cs="Times New Roman"/>
          <w:bCs/>
          <w:color w:val="26282F"/>
          <w:sz w:val="28"/>
          <w:szCs w:val="28"/>
          <w:lang w:eastAsia="ru-RU"/>
        </w:rPr>
        <w:t xml:space="preserve"> «</w:t>
      </w:r>
      <w:r w:rsidR="00A932FA">
        <w:rPr>
          <w:rFonts w:ascii="Times New Roman" w:eastAsiaTheme="minorEastAsia" w:hAnsi="Times New Roman" w:cs="Times New Roman"/>
          <w:bCs/>
          <w:color w:val="26282F"/>
          <w:sz w:val="28"/>
          <w:szCs w:val="28"/>
          <w:lang w:eastAsia="ru-RU"/>
        </w:rPr>
        <w:t>20</w:t>
      </w:r>
      <w:r w:rsidR="00FA0930">
        <w:rPr>
          <w:rFonts w:ascii="Times New Roman" w:eastAsiaTheme="minorEastAsia" w:hAnsi="Times New Roman" w:cs="Times New Roman"/>
          <w:bCs/>
          <w:color w:val="26282F"/>
          <w:sz w:val="28"/>
          <w:szCs w:val="28"/>
          <w:lang w:eastAsia="ru-RU"/>
        </w:rPr>
        <w:t xml:space="preserve">» </w:t>
      </w:r>
      <w:r w:rsidR="00CF34B0">
        <w:rPr>
          <w:rFonts w:ascii="Times New Roman" w:eastAsiaTheme="minorEastAsia" w:hAnsi="Times New Roman" w:cs="Times New Roman"/>
          <w:bCs/>
          <w:color w:val="26282F"/>
          <w:sz w:val="28"/>
          <w:szCs w:val="28"/>
          <w:lang w:eastAsia="ru-RU"/>
        </w:rPr>
        <w:t>мая</w:t>
      </w:r>
      <w:r w:rsidR="00FA0930">
        <w:rPr>
          <w:rFonts w:ascii="Times New Roman" w:eastAsiaTheme="minorEastAsia" w:hAnsi="Times New Roman" w:cs="Times New Roman"/>
          <w:bCs/>
          <w:color w:val="26282F"/>
          <w:sz w:val="28"/>
          <w:szCs w:val="28"/>
          <w:lang w:eastAsia="ru-RU"/>
        </w:rPr>
        <w:t xml:space="preserve"> </w:t>
      </w:r>
      <w:r w:rsidR="00086F90">
        <w:rPr>
          <w:rFonts w:ascii="Times New Roman" w:eastAsiaTheme="minorEastAsia" w:hAnsi="Times New Roman" w:cs="Times New Roman"/>
          <w:bCs/>
          <w:color w:val="26282F"/>
          <w:sz w:val="28"/>
          <w:szCs w:val="28"/>
          <w:lang w:eastAsia="ru-RU"/>
        </w:rPr>
        <w:t>201</w:t>
      </w:r>
      <w:r w:rsidR="007F0129">
        <w:rPr>
          <w:rFonts w:ascii="Times New Roman" w:eastAsiaTheme="minorEastAsia" w:hAnsi="Times New Roman" w:cs="Times New Roman"/>
          <w:bCs/>
          <w:color w:val="26282F"/>
          <w:sz w:val="28"/>
          <w:szCs w:val="28"/>
          <w:lang w:eastAsia="ru-RU"/>
        </w:rPr>
        <w:t>5</w:t>
      </w:r>
      <w:r w:rsidRPr="00046A1B">
        <w:rPr>
          <w:rFonts w:ascii="Times New Roman" w:eastAsiaTheme="minorEastAsia" w:hAnsi="Times New Roman" w:cs="Times New Roman"/>
          <w:bCs/>
          <w:color w:val="26282F"/>
          <w:sz w:val="28"/>
          <w:szCs w:val="28"/>
          <w:lang w:eastAsia="ru-RU"/>
        </w:rPr>
        <w:t xml:space="preserve"> № </w:t>
      </w:r>
      <w:r w:rsidR="00086F90">
        <w:rPr>
          <w:rFonts w:ascii="Times New Roman" w:eastAsiaTheme="minorEastAsia" w:hAnsi="Times New Roman" w:cs="Times New Roman"/>
          <w:bCs/>
          <w:color w:val="26282F"/>
          <w:sz w:val="28"/>
          <w:szCs w:val="28"/>
          <w:lang w:eastAsia="ru-RU"/>
        </w:rPr>
        <w:t>П/</w:t>
      </w:r>
      <w:r w:rsidR="005817BA" w:rsidRPr="005817BA">
        <w:rPr>
          <w:rFonts w:ascii="Times New Roman" w:eastAsiaTheme="minorEastAsia" w:hAnsi="Times New Roman" w:cs="Times New Roman"/>
          <w:bCs/>
          <w:sz w:val="28"/>
          <w:szCs w:val="28"/>
          <w:lang w:eastAsia="ru-RU"/>
        </w:rPr>
        <w:t>49</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326B5D">
        <w:rPr>
          <w:rFonts w:ascii="Times New Roman" w:eastAsiaTheme="minorEastAsia" w:hAnsi="Times New Roman" w:cs="Times New Roman"/>
          <w:b/>
          <w:bCs/>
          <w:color w:val="26282F"/>
          <w:sz w:val="24"/>
          <w:szCs w:val="24"/>
          <w:lang w:eastAsia="ru-RU"/>
        </w:rPr>
        <w:t>щего имущества в многоквартирных домах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7437B7"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7437B7">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7437B7">
        <w:rPr>
          <w:rFonts w:ascii="Times New Roman" w:eastAsiaTheme="minorEastAsia" w:hAnsi="Times New Roman" w:cs="Times New Roman"/>
          <w:sz w:val="24"/>
          <w:szCs w:val="24"/>
          <w:lang w:eastAsia="ru-RU"/>
        </w:rPr>
        <w:t>щего имущества в многоквартирных домах</w:t>
      </w:r>
      <w:r w:rsidRPr="007437B7">
        <w:rPr>
          <w:rFonts w:ascii="Times New Roman" w:eastAsiaTheme="minorEastAsia" w:hAnsi="Times New Roman" w:cs="Times New Roman"/>
          <w:sz w:val="24"/>
          <w:szCs w:val="24"/>
          <w:lang w:eastAsia="ru-RU"/>
        </w:rPr>
        <w:t xml:space="preserve"> </w:t>
      </w:r>
      <w:r w:rsidR="00F33AC0" w:rsidRPr="007437B7">
        <w:rPr>
          <w:rFonts w:ascii="Times New Roman" w:eastAsiaTheme="minorEastAsia" w:hAnsi="Times New Roman" w:cs="Times New Roman"/>
          <w:sz w:val="24"/>
          <w:szCs w:val="24"/>
          <w:lang w:eastAsia="ru-RU"/>
        </w:rPr>
        <w:t>в Камчатском крае</w:t>
      </w:r>
    </w:p>
    <w:p w:rsidR="00160C00" w:rsidRPr="007437B7"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5817BA" w:rsidRPr="007437B7" w:rsidRDefault="005817BA" w:rsidP="005817B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1: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с. Мильково, ул. Школьная, д. 1</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водоотведения;</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xml:space="preserve">- ремонт инженерной системы холодного водоснабжения; </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Начальная (максимальная) цена договора подряда: 3 941 982 (три миллиона девятьсот сорок одна тысяча девятьсот восемьдесят два) рубля, в том числе НДС 601 319 руб. (шестьсот одна тысяча триста девятнадцать рублей).</w:t>
      </w: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u w:val="single"/>
          <w:lang w:eastAsia="ru-RU"/>
        </w:rPr>
      </w:pP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2: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Тигильское муниципальный район, сельское поселение «село Ковран», ул. 50 лет Октября, д. 26:</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Начальная (максимальная) цена договора подряда: 899 861 (восемьсот девяносто девять тысяч восемьсот шестьдесят один) рубль, в том числе НДС 137 267 (сто тридцать семь тысяч двести шестьдесят семь рублей)</w:t>
      </w: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3: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Тигильский муниципальный район, сельское поселение «село Усть-Хайрюзово», ул. Связи, д. 4:</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холодного водоснабжения;</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кровли</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lastRenderedPageBreak/>
        <w:t>Начальная (максимальная) цена договора подряда: 1 703 219 (один миллион семьсот три тысячи двести девятнадцать) рублей, в том числе НДС 259 813 руб. (двести пятьдесят девять тысяч восемьсот тринадцать рублей).</w:t>
      </w: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4: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437B7" w:rsidRPr="007437B7" w:rsidRDefault="007437B7" w:rsidP="007437B7">
      <w:pPr>
        <w:pStyle w:val="a9"/>
        <w:widowControl w:val="0"/>
        <w:numPr>
          <w:ilvl w:val="0"/>
          <w:numId w:val="33"/>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Тигильский муниципальный район, Тигильское сельское поселение, с. Тигиль, ул. Соболева, д. 8:</w:t>
      </w: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холодного водоснабжения;</w:t>
      </w: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горячего водоснабжения;</w:t>
      </w: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кровли;</w:t>
      </w: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фасада</w:t>
      </w: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437B7" w:rsidRPr="007437B7" w:rsidRDefault="007437B7" w:rsidP="007437B7">
      <w:pPr>
        <w:spacing w:after="0" w:line="240" w:lineRule="auto"/>
        <w:ind w:firstLine="709"/>
        <w:contextualSpacing/>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Начальная (максимальная) цена договора подряда: 3 754 240 (три миллиона семьсот пятьдесят четыре тысячи двести сорок) рублей, в том числе НДС 572 681 (пятьсот семьдесят две тысячи шестьсот восемьдесят один) рубль.</w:t>
      </w: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ind w:left="0" w:firstLine="720"/>
        <w:jc w:val="both"/>
        <w:rPr>
          <w:rFonts w:ascii="Times New Roman" w:eastAsiaTheme="minorEastAsia" w:hAnsi="Times New Roman" w:cs="Times New Roman"/>
          <w:b/>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5: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Усть-Большерецкий муниципальный район, Октябрьское городское поселение, п. Октябрьский,  ул. Цепляева, д. 48:</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кровли</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Начальная (максимальная) цена договора подряда: 3 450 831 (три миллиона четыреста пятьдесят тысяч восемьсот тридцать один) рубль, в том числе НДС 526 398 руб. (пятьсот двадцать шесть тысяч триста девяносто восемь рублей).</w:t>
      </w:r>
    </w:p>
    <w:p w:rsid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6: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Соболевский муниципальный район, Устьевое сельское поселение, с. Устьевое, ул. Октябрьская, д. 24:</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холодного водоснабжения;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Начальная (максимальная) цена договора подряда: 449 453 (четыреста сорок девять тысяч четыреста пятьдесят три) рубля, в том числе НДС 68 561 (шестьдесят восемь тысяч пятьсот шестьдесят один рубль)</w:t>
      </w: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7: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Городской округ «поселок Палана»,  ул. имени Владимира Ильича Ленина , д. 10:</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фасада</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xml:space="preserve">Начальная (максимальная) цена договора подряда: 2 923 231 (два миллиона девятьсот двадцать три тысячи двести тридцать один) рубль, в том числе НДС 445 917 </w:t>
      </w:r>
      <w:r w:rsidRPr="007437B7">
        <w:rPr>
          <w:rFonts w:ascii="Times New Roman" w:eastAsiaTheme="minorEastAsia" w:hAnsi="Times New Roman" w:cs="Times New Roman"/>
          <w:sz w:val="24"/>
          <w:szCs w:val="24"/>
          <w:lang w:eastAsia="ru-RU"/>
        </w:rPr>
        <w:lastRenderedPageBreak/>
        <w:t>(четыреста сорок пять тысяч девятьсот семнадцать рублей)</w:t>
      </w: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8: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Городской округ «поселок Палана»,  ул. Обухова , д. 11:</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холодного водоснабжения;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Городской округ «поселок Палана»,  ул. Обухова , д. 15:</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холодного водоснабжения;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Городской округ «поселок Палана»,  ул. Обухова , д. 17:</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холодного водоснабжения;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Городской округ «поселок Палана»,  ул. Обухова , д. 21:</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холодного водоснабжения;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Городской округ «поселок Палана»,  ул. Обухова , д. 23:</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холодного водоснабжения;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Городской округ «поселок Палана»,  ул. Обухова , д. 29:</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холодного водоснабжения;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Городской округ «поселок Палана»,  ул. Обухова , д. 3:</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Городской округ «поселок Палана»,  ул. имени Владимира Ильича Ленина , д. 10:</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холодного водоснабжения;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Начальная (максимальная) цена договора подряда: 4 683 388 (четыре миллиона шестьсот восемьдесят три тысячи триста восемьдесят восемь) рубля, в том числе НДС 714 415 (семьсот четырнадцать тысяч четыреста пятнадцать рублей)</w:t>
      </w: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u w:val="single"/>
          <w:lang w:eastAsia="ru-RU"/>
        </w:rPr>
      </w:pP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9: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Усть-Большерецкий муниципальный район, Апачинское сельское поселение, с. Апача, ул. Юбилейная, д. 5:</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горячего водоснабжения;</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Начальная (максимальная) цена договора подряда: 425 492 (четыреста двадцать пять тысяч четыреста девяносто два) рубля, в том числе НДС 64 906 (шестьдесят четыре тысячи девятьсот шесть рублей)</w:t>
      </w: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10: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Соболевский муниципальный район, Соболевское сельское поселение, с. Соболево, ул. Заречная, д. 2б:</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фасада</w:t>
      </w: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437B7" w:rsidRPr="007437B7" w:rsidRDefault="007437B7" w:rsidP="007437B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lastRenderedPageBreak/>
        <w:t>Начальная (максимальная) цена договора подряда: 3 651 265 (три миллиона шестьсот пятьдесят одна тысяча двести шестьдесят пять) рублей, в том числе НДС 556 973 руб. (пятьсот пятьдесят шесть тысяч девятьсот семьдесят три рубля).</w:t>
      </w: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11: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Красноармейская, д. 3:</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водоотведения;</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Северная, д. 8:</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холодного водоснабжения;</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водоотведения;</w:t>
      </w: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highlight w:val="yellow"/>
          <w:lang w:eastAsia="ru-RU"/>
        </w:rPr>
      </w:pPr>
    </w:p>
    <w:p w:rsidR="007437B7" w:rsidRPr="007437B7" w:rsidRDefault="007437B7" w:rsidP="007437B7">
      <w:pPr>
        <w:spacing w:after="0" w:line="240" w:lineRule="auto"/>
        <w:ind w:firstLine="709"/>
        <w:contextualSpacing/>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Начальная (максимальная) цена договора подряда: 2 395 627 (два миллиона триста девяносто пять тысяч шестьсот двадцать семь) рублей, в том числе НДС 365 435 (триста шестьдесят пять тысяч четыреста тридцать пять) рублей.</w:t>
      </w: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12: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Красноармейская, д. 3:</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фасада</w:t>
      </w:r>
    </w:p>
    <w:p w:rsidR="007437B7" w:rsidRPr="007437B7" w:rsidRDefault="007437B7" w:rsidP="007437B7">
      <w:pPr>
        <w:spacing w:after="0" w:line="240" w:lineRule="auto"/>
        <w:ind w:firstLine="709"/>
        <w:contextualSpacing/>
        <w:jc w:val="both"/>
        <w:rPr>
          <w:rFonts w:ascii="Times New Roman" w:eastAsiaTheme="minorEastAsia" w:hAnsi="Times New Roman" w:cs="Times New Roman"/>
          <w:sz w:val="24"/>
          <w:szCs w:val="24"/>
          <w:highlight w:val="yellow"/>
          <w:lang w:eastAsia="ru-RU"/>
        </w:rPr>
      </w:pPr>
    </w:p>
    <w:p w:rsidR="007437B7" w:rsidRPr="007437B7" w:rsidRDefault="007437B7" w:rsidP="007437B7">
      <w:pPr>
        <w:spacing w:after="0" w:line="240" w:lineRule="auto"/>
        <w:ind w:firstLine="709"/>
        <w:contextualSpacing/>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Начальная (максимальная) цена договора подряда: 3 372 665 (три миллиона триста семьдесят две тысячи шестьсот шестьдесят пять) рублей, в том числе НДС 514 474 (пятьсот четырнадцать тысяч четыреста семьдесят четыре) рубля.</w:t>
      </w: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13: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Северная, д. 3:</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437B7" w:rsidRPr="007437B7" w:rsidRDefault="007437B7" w:rsidP="007437B7">
      <w:pPr>
        <w:spacing w:after="0" w:line="240" w:lineRule="auto"/>
        <w:ind w:firstLine="709"/>
        <w:contextualSpacing/>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Начальная (максимальная) цена договора подряда: 2 092 671 (два миллиона девяносто две тысячи шестьсот семьдесят один) рубль, в том числе НДС 319 221 (триста девятнадцать тысяч двести двадцать один) рубль.</w:t>
      </w: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 xml:space="preserve">ЛОТ № 14: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7437B7" w:rsidRPr="007437B7" w:rsidRDefault="007437B7" w:rsidP="007437B7">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Северная, д. 3:</w:t>
      </w:r>
    </w:p>
    <w:p w:rsidR="007437B7" w:rsidRPr="007437B7" w:rsidRDefault="007437B7" w:rsidP="007437B7">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фасада;</w:t>
      </w:r>
    </w:p>
    <w:p w:rsidR="007437B7" w:rsidRPr="007437B7" w:rsidRDefault="007437B7" w:rsidP="007437B7">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437B7" w:rsidRDefault="007437B7" w:rsidP="007437B7">
      <w:pPr>
        <w:spacing w:after="0" w:line="240" w:lineRule="auto"/>
        <w:ind w:firstLine="709"/>
        <w:contextualSpacing/>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Начальная (максимальная) цена договора подряда: 6 465 422 (шесть миллионов четыреста шестьдесят пять тысяч четыреста двадцать два) рубля, в том числе НДС 986 251 (девятьсот восемьдесят шесть тысяч двести пятьдесят один) рубль.</w:t>
      </w:r>
    </w:p>
    <w:p w:rsidR="00695058" w:rsidRPr="007437B7" w:rsidRDefault="00695058" w:rsidP="007437B7">
      <w:pPr>
        <w:spacing w:after="0" w:line="240" w:lineRule="auto"/>
        <w:ind w:firstLine="709"/>
        <w:contextualSpacing/>
        <w:jc w:val="both"/>
        <w:rPr>
          <w:rFonts w:ascii="Times New Roman" w:eastAsiaTheme="minorEastAsia" w:hAnsi="Times New Roman" w:cs="Times New Roman"/>
          <w:sz w:val="24"/>
          <w:szCs w:val="24"/>
          <w:lang w:eastAsia="ru-RU"/>
        </w:rPr>
      </w:pPr>
    </w:p>
    <w:p w:rsidR="00695058" w:rsidRPr="007437B7" w:rsidRDefault="00695058" w:rsidP="00695058">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ЛОТ № 1</w:t>
      </w:r>
      <w:r>
        <w:rPr>
          <w:rFonts w:ascii="Times New Roman" w:eastAsiaTheme="minorEastAsia" w:hAnsi="Times New Roman" w:cs="Times New Roman"/>
          <w:b/>
          <w:sz w:val="24"/>
          <w:szCs w:val="24"/>
          <w:u w:val="single"/>
          <w:lang w:eastAsia="ru-RU"/>
        </w:rPr>
        <w:t>5</w:t>
      </w:r>
      <w:r w:rsidRPr="007437B7">
        <w:rPr>
          <w:rFonts w:ascii="Times New Roman" w:eastAsiaTheme="minorEastAsia" w:hAnsi="Times New Roman" w:cs="Times New Roman"/>
          <w:b/>
          <w:sz w:val="24"/>
          <w:szCs w:val="24"/>
          <w:u w:val="single"/>
          <w:lang w:eastAsia="ru-RU"/>
        </w:rPr>
        <w:t xml:space="preserve">: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95058" w:rsidRPr="007437B7" w:rsidRDefault="00695058" w:rsidP="00695058">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695058" w:rsidRPr="007437B7" w:rsidRDefault="00695058" w:rsidP="00695058">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 xml:space="preserve">Усть-Камчатский муниципальный район, Ключевское сельское поселение, п. Ключи, ул. Северная, д. </w:t>
      </w:r>
      <w:r>
        <w:rPr>
          <w:rFonts w:ascii="Times New Roman" w:eastAsiaTheme="minorEastAsia" w:hAnsi="Times New Roman" w:cs="Times New Roman"/>
          <w:sz w:val="24"/>
          <w:szCs w:val="24"/>
          <w:u w:val="single"/>
          <w:lang w:eastAsia="ru-RU"/>
        </w:rPr>
        <w:t>5</w:t>
      </w:r>
      <w:r w:rsidRPr="007437B7">
        <w:rPr>
          <w:rFonts w:ascii="Times New Roman" w:eastAsiaTheme="minorEastAsia" w:hAnsi="Times New Roman" w:cs="Times New Roman"/>
          <w:sz w:val="24"/>
          <w:szCs w:val="24"/>
          <w:u w:val="single"/>
          <w:lang w:eastAsia="ru-RU"/>
        </w:rPr>
        <w:t>:</w:t>
      </w:r>
    </w:p>
    <w:p w:rsidR="00695058" w:rsidRPr="007437B7" w:rsidRDefault="00695058" w:rsidP="00695058">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ремонт инженерной системы отопления;</w:t>
      </w:r>
    </w:p>
    <w:p w:rsidR="00695058" w:rsidRPr="007437B7" w:rsidRDefault="00695058" w:rsidP="0069505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95058" w:rsidRDefault="00695058" w:rsidP="00695058">
      <w:pPr>
        <w:spacing w:after="0" w:line="240" w:lineRule="auto"/>
        <w:ind w:firstLine="709"/>
        <w:contextualSpacing/>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xml:space="preserve">Начальная (максимальная) цена договора подряда: </w:t>
      </w:r>
      <w:r>
        <w:rPr>
          <w:rFonts w:ascii="Times New Roman" w:eastAsiaTheme="minorEastAsia" w:hAnsi="Times New Roman" w:cs="Times New Roman"/>
          <w:sz w:val="24"/>
          <w:szCs w:val="24"/>
          <w:lang w:eastAsia="ru-RU"/>
        </w:rPr>
        <w:t>2 073 000 (два</w:t>
      </w:r>
      <w:r w:rsidRPr="007437B7">
        <w:rPr>
          <w:rFonts w:ascii="Times New Roman" w:eastAsiaTheme="minorEastAsia" w:hAnsi="Times New Roman" w:cs="Times New Roman"/>
          <w:sz w:val="24"/>
          <w:szCs w:val="24"/>
          <w:lang w:eastAsia="ru-RU"/>
        </w:rPr>
        <w:t xml:space="preserve"> миллион</w:t>
      </w:r>
      <w:r>
        <w:rPr>
          <w:rFonts w:ascii="Times New Roman" w:eastAsiaTheme="minorEastAsia" w:hAnsi="Times New Roman" w:cs="Times New Roman"/>
          <w:sz w:val="24"/>
          <w:szCs w:val="24"/>
          <w:lang w:eastAsia="ru-RU"/>
        </w:rPr>
        <w:t>а</w:t>
      </w:r>
      <w:r w:rsidRPr="007437B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семьдесят три</w:t>
      </w:r>
      <w:r w:rsidRPr="007437B7">
        <w:rPr>
          <w:rFonts w:ascii="Times New Roman" w:eastAsiaTheme="minorEastAsia" w:hAnsi="Times New Roman" w:cs="Times New Roman"/>
          <w:sz w:val="24"/>
          <w:szCs w:val="24"/>
          <w:lang w:eastAsia="ru-RU"/>
        </w:rPr>
        <w:t xml:space="preserve"> тысяч</w:t>
      </w:r>
      <w:r>
        <w:rPr>
          <w:rFonts w:ascii="Times New Roman" w:eastAsiaTheme="minorEastAsia" w:hAnsi="Times New Roman" w:cs="Times New Roman"/>
          <w:sz w:val="24"/>
          <w:szCs w:val="24"/>
          <w:lang w:eastAsia="ru-RU"/>
        </w:rPr>
        <w:t>и</w:t>
      </w:r>
      <w:r w:rsidRPr="007437B7">
        <w:rPr>
          <w:rFonts w:ascii="Times New Roman" w:eastAsiaTheme="minorEastAsia" w:hAnsi="Times New Roman" w:cs="Times New Roman"/>
          <w:sz w:val="24"/>
          <w:szCs w:val="24"/>
          <w:lang w:eastAsia="ru-RU"/>
        </w:rPr>
        <w:t>) рубл</w:t>
      </w:r>
      <w:r>
        <w:rPr>
          <w:rFonts w:ascii="Times New Roman" w:eastAsiaTheme="minorEastAsia" w:hAnsi="Times New Roman" w:cs="Times New Roman"/>
          <w:sz w:val="24"/>
          <w:szCs w:val="24"/>
          <w:lang w:eastAsia="ru-RU"/>
        </w:rPr>
        <w:t>ей</w:t>
      </w:r>
      <w:r w:rsidRPr="007437B7">
        <w:rPr>
          <w:rFonts w:ascii="Times New Roman" w:eastAsiaTheme="minorEastAsia" w:hAnsi="Times New Roman" w:cs="Times New Roman"/>
          <w:sz w:val="24"/>
          <w:szCs w:val="24"/>
          <w:lang w:eastAsia="ru-RU"/>
        </w:rPr>
        <w:t xml:space="preserve">, в том числе НДС </w:t>
      </w:r>
      <w:r>
        <w:rPr>
          <w:rFonts w:ascii="Times New Roman" w:eastAsiaTheme="minorEastAsia" w:hAnsi="Times New Roman" w:cs="Times New Roman"/>
          <w:sz w:val="24"/>
          <w:szCs w:val="24"/>
          <w:lang w:eastAsia="ru-RU"/>
        </w:rPr>
        <w:t xml:space="preserve">316 220 (триста шестнадцать </w:t>
      </w:r>
      <w:r w:rsidRPr="007437B7">
        <w:rPr>
          <w:rFonts w:ascii="Times New Roman" w:eastAsiaTheme="minorEastAsia" w:hAnsi="Times New Roman" w:cs="Times New Roman"/>
          <w:sz w:val="24"/>
          <w:szCs w:val="24"/>
          <w:lang w:eastAsia="ru-RU"/>
        </w:rPr>
        <w:t xml:space="preserve">тысяч двести </w:t>
      </w:r>
      <w:r>
        <w:rPr>
          <w:rFonts w:ascii="Times New Roman" w:eastAsiaTheme="minorEastAsia" w:hAnsi="Times New Roman" w:cs="Times New Roman"/>
          <w:sz w:val="24"/>
          <w:szCs w:val="24"/>
          <w:lang w:eastAsia="ru-RU"/>
        </w:rPr>
        <w:t>двадцать</w:t>
      </w:r>
      <w:r w:rsidRPr="007437B7">
        <w:rPr>
          <w:rFonts w:ascii="Times New Roman" w:eastAsiaTheme="minorEastAsia" w:hAnsi="Times New Roman" w:cs="Times New Roman"/>
          <w:sz w:val="24"/>
          <w:szCs w:val="24"/>
          <w:lang w:eastAsia="ru-RU"/>
        </w:rPr>
        <w:t>) рубл</w:t>
      </w:r>
      <w:r>
        <w:rPr>
          <w:rFonts w:ascii="Times New Roman" w:eastAsiaTheme="minorEastAsia" w:hAnsi="Times New Roman" w:cs="Times New Roman"/>
          <w:sz w:val="24"/>
          <w:szCs w:val="24"/>
          <w:lang w:eastAsia="ru-RU"/>
        </w:rPr>
        <w:t>ей</w:t>
      </w:r>
      <w:r w:rsidRPr="007437B7">
        <w:rPr>
          <w:rFonts w:ascii="Times New Roman" w:eastAsiaTheme="minorEastAsia" w:hAnsi="Times New Roman" w:cs="Times New Roman"/>
          <w:sz w:val="24"/>
          <w:szCs w:val="24"/>
          <w:lang w:eastAsia="ru-RU"/>
        </w:rPr>
        <w:t>.</w:t>
      </w:r>
    </w:p>
    <w:p w:rsidR="00695058" w:rsidRDefault="00695058" w:rsidP="00695058">
      <w:pPr>
        <w:spacing w:after="0" w:line="240" w:lineRule="auto"/>
        <w:ind w:firstLine="709"/>
        <w:contextualSpacing/>
        <w:jc w:val="both"/>
        <w:rPr>
          <w:rFonts w:ascii="Times New Roman" w:eastAsiaTheme="minorEastAsia" w:hAnsi="Times New Roman" w:cs="Times New Roman"/>
          <w:sz w:val="24"/>
          <w:szCs w:val="24"/>
          <w:lang w:eastAsia="ru-RU"/>
        </w:rPr>
      </w:pPr>
    </w:p>
    <w:p w:rsidR="00695058" w:rsidRPr="007437B7" w:rsidRDefault="00695058" w:rsidP="00695058">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b/>
          <w:sz w:val="24"/>
          <w:szCs w:val="24"/>
          <w:u w:val="single"/>
          <w:lang w:eastAsia="ru-RU"/>
        </w:rPr>
        <w:t>ЛОТ № 1</w:t>
      </w:r>
      <w:r>
        <w:rPr>
          <w:rFonts w:ascii="Times New Roman" w:eastAsiaTheme="minorEastAsia" w:hAnsi="Times New Roman" w:cs="Times New Roman"/>
          <w:b/>
          <w:sz w:val="24"/>
          <w:szCs w:val="24"/>
          <w:u w:val="single"/>
          <w:lang w:eastAsia="ru-RU"/>
        </w:rPr>
        <w:t>6</w:t>
      </w:r>
      <w:r w:rsidRPr="007437B7">
        <w:rPr>
          <w:rFonts w:ascii="Times New Roman" w:eastAsiaTheme="minorEastAsia" w:hAnsi="Times New Roman" w:cs="Times New Roman"/>
          <w:b/>
          <w:sz w:val="24"/>
          <w:szCs w:val="24"/>
          <w:u w:val="single"/>
          <w:lang w:eastAsia="ru-RU"/>
        </w:rPr>
        <w:t xml:space="preserve">: </w:t>
      </w:r>
      <w:r w:rsidRPr="007437B7">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95058" w:rsidRPr="007437B7" w:rsidRDefault="00695058" w:rsidP="00695058">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Адрес многоквартирного дома, работы, объекты:</w:t>
      </w:r>
    </w:p>
    <w:p w:rsidR="00695058" w:rsidRPr="007437B7" w:rsidRDefault="00695058" w:rsidP="00695058">
      <w:pPr>
        <w:pStyle w:val="a9"/>
        <w:ind w:left="0" w:firstLine="720"/>
        <w:jc w:val="both"/>
        <w:rPr>
          <w:rFonts w:ascii="Times New Roman" w:eastAsiaTheme="minorEastAsia" w:hAnsi="Times New Roman" w:cs="Times New Roman"/>
          <w:sz w:val="24"/>
          <w:szCs w:val="24"/>
          <w:u w:val="single"/>
          <w:lang w:eastAsia="ru-RU"/>
        </w:rPr>
      </w:pPr>
      <w:r w:rsidRPr="007437B7">
        <w:rPr>
          <w:rFonts w:ascii="Times New Roman" w:eastAsiaTheme="minorEastAsia" w:hAnsi="Times New Roman" w:cs="Times New Roman"/>
          <w:sz w:val="24"/>
          <w:szCs w:val="24"/>
          <w:u w:val="single"/>
          <w:lang w:eastAsia="ru-RU"/>
        </w:rPr>
        <w:t xml:space="preserve">Усть-Камчатский муниципальный район, Ключевское сельское поселение, п. Ключи, ул. Северная, д. </w:t>
      </w:r>
      <w:r>
        <w:rPr>
          <w:rFonts w:ascii="Times New Roman" w:eastAsiaTheme="minorEastAsia" w:hAnsi="Times New Roman" w:cs="Times New Roman"/>
          <w:sz w:val="24"/>
          <w:szCs w:val="24"/>
          <w:u w:val="single"/>
          <w:lang w:eastAsia="ru-RU"/>
        </w:rPr>
        <w:t>5</w:t>
      </w:r>
      <w:r w:rsidRPr="007437B7">
        <w:rPr>
          <w:rFonts w:ascii="Times New Roman" w:eastAsiaTheme="minorEastAsia" w:hAnsi="Times New Roman" w:cs="Times New Roman"/>
          <w:sz w:val="24"/>
          <w:szCs w:val="24"/>
          <w:u w:val="single"/>
          <w:lang w:eastAsia="ru-RU"/>
        </w:rPr>
        <w:t>:</w:t>
      </w:r>
    </w:p>
    <w:p w:rsidR="00695058" w:rsidRPr="007437B7" w:rsidRDefault="00695058" w:rsidP="00695058">
      <w:pPr>
        <w:pStyle w:val="a9"/>
        <w:ind w:left="0" w:firstLine="720"/>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xml:space="preserve">- ремонт </w:t>
      </w:r>
      <w:r>
        <w:rPr>
          <w:rFonts w:ascii="Times New Roman" w:eastAsiaTheme="minorEastAsia" w:hAnsi="Times New Roman" w:cs="Times New Roman"/>
          <w:sz w:val="24"/>
          <w:szCs w:val="24"/>
          <w:lang w:eastAsia="ru-RU"/>
        </w:rPr>
        <w:t>фасада</w:t>
      </w:r>
      <w:r w:rsidRPr="007437B7">
        <w:rPr>
          <w:rFonts w:ascii="Times New Roman" w:eastAsiaTheme="minorEastAsia" w:hAnsi="Times New Roman" w:cs="Times New Roman"/>
          <w:sz w:val="24"/>
          <w:szCs w:val="24"/>
          <w:lang w:eastAsia="ru-RU"/>
        </w:rPr>
        <w:t>;</w:t>
      </w:r>
    </w:p>
    <w:p w:rsidR="00695058" w:rsidRPr="007437B7" w:rsidRDefault="00695058" w:rsidP="0069505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95058" w:rsidRDefault="00695058" w:rsidP="00695058">
      <w:pPr>
        <w:spacing w:after="0" w:line="240" w:lineRule="auto"/>
        <w:ind w:firstLine="709"/>
        <w:contextualSpacing/>
        <w:jc w:val="both"/>
        <w:rPr>
          <w:rFonts w:ascii="Times New Roman" w:eastAsiaTheme="minorEastAsia" w:hAnsi="Times New Roman" w:cs="Times New Roman"/>
          <w:sz w:val="24"/>
          <w:szCs w:val="24"/>
          <w:lang w:eastAsia="ru-RU"/>
        </w:rPr>
      </w:pPr>
      <w:r w:rsidRPr="007437B7">
        <w:rPr>
          <w:rFonts w:ascii="Times New Roman" w:eastAsiaTheme="minorEastAsia" w:hAnsi="Times New Roman" w:cs="Times New Roman"/>
          <w:sz w:val="24"/>
          <w:szCs w:val="24"/>
          <w:lang w:eastAsia="ru-RU"/>
        </w:rPr>
        <w:t xml:space="preserve">Начальная (максимальная) цена договора подряда: </w:t>
      </w:r>
      <w:r>
        <w:rPr>
          <w:rFonts w:ascii="Times New Roman" w:eastAsiaTheme="minorEastAsia" w:hAnsi="Times New Roman" w:cs="Times New Roman"/>
          <w:sz w:val="24"/>
          <w:szCs w:val="24"/>
          <w:lang w:eastAsia="ru-RU"/>
        </w:rPr>
        <w:t>5 840 329 (пять</w:t>
      </w:r>
      <w:r w:rsidRPr="007437B7">
        <w:rPr>
          <w:rFonts w:ascii="Times New Roman" w:eastAsiaTheme="minorEastAsia" w:hAnsi="Times New Roman" w:cs="Times New Roman"/>
          <w:sz w:val="24"/>
          <w:szCs w:val="24"/>
          <w:lang w:eastAsia="ru-RU"/>
        </w:rPr>
        <w:t xml:space="preserve"> миллион</w:t>
      </w:r>
      <w:r>
        <w:rPr>
          <w:rFonts w:ascii="Times New Roman" w:eastAsiaTheme="minorEastAsia" w:hAnsi="Times New Roman" w:cs="Times New Roman"/>
          <w:sz w:val="24"/>
          <w:szCs w:val="24"/>
          <w:lang w:eastAsia="ru-RU"/>
        </w:rPr>
        <w:t>ов</w:t>
      </w:r>
      <w:r w:rsidRPr="007437B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восемьсот сорок</w:t>
      </w:r>
      <w:r w:rsidRPr="007437B7">
        <w:rPr>
          <w:rFonts w:ascii="Times New Roman" w:eastAsiaTheme="minorEastAsia" w:hAnsi="Times New Roman" w:cs="Times New Roman"/>
          <w:sz w:val="24"/>
          <w:szCs w:val="24"/>
          <w:lang w:eastAsia="ru-RU"/>
        </w:rPr>
        <w:t xml:space="preserve"> тысяч</w:t>
      </w:r>
      <w:r>
        <w:rPr>
          <w:rFonts w:ascii="Times New Roman" w:eastAsiaTheme="minorEastAsia" w:hAnsi="Times New Roman" w:cs="Times New Roman"/>
          <w:sz w:val="24"/>
          <w:szCs w:val="24"/>
          <w:lang w:eastAsia="ru-RU"/>
        </w:rPr>
        <w:t xml:space="preserve"> триста двадцать девять</w:t>
      </w:r>
      <w:r w:rsidRPr="007437B7">
        <w:rPr>
          <w:rFonts w:ascii="Times New Roman" w:eastAsiaTheme="minorEastAsia" w:hAnsi="Times New Roman" w:cs="Times New Roman"/>
          <w:sz w:val="24"/>
          <w:szCs w:val="24"/>
          <w:lang w:eastAsia="ru-RU"/>
        </w:rPr>
        <w:t>) рубл</w:t>
      </w:r>
      <w:r>
        <w:rPr>
          <w:rFonts w:ascii="Times New Roman" w:eastAsiaTheme="minorEastAsia" w:hAnsi="Times New Roman" w:cs="Times New Roman"/>
          <w:sz w:val="24"/>
          <w:szCs w:val="24"/>
          <w:lang w:eastAsia="ru-RU"/>
        </w:rPr>
        <w:t>ей</w:t>
      </w:r>
      <w:r w:rsidRPr="007437B7">
        <w:rPr>
          <w:rFonts w:ascii="Times New Roman" w:eastAsiaTheme="minorEastAsia" w:hAnsi="Times New Roman" w:cs="Times New Roman"/>
          <w:sz w:val="24"/>
          <w:szCs w:val="24"/>
          <w:lang w:eastAsia="ru-RU"/>
        </w:rPr>
        <w:t xml:space="preserve">, в том числе НДС </w:t>
      </w:r>
      <w:r w:rsidR="008B4416">
        <w:rPr>
          <w:rFonts w:ascii="Times New Roman" w:eastAsiaTheme="minorEastAsia" w:hAnsi="Times New Roman" w:cs="Times New Roman"/>
          <w:sz w:val="24"/>
          <w:szCs w:val="24"/>
          <w:lang w:eastAsia="ru-RU"/>
        </w:rPr>
        <w:t>890 898</w:t>
      </w:r>
      <w:r>
        <w:rPr>
          <w:rFonts w:ascii="Times New Roman" w:eastAsiaTheme="minorEastAsia" w:hAnsi="Times New Roman" w:cs="Times New Roman"/>
          <w:sz w:val="24"/>
          <w:szCs w:val="24"/>
          <w:lang w:eastAsia="ru-RU"/>
        </w:rPr>
        <w:t xml:space="preserve"> (</w:t>
      </w:r>
      <w:r w:rsidR="008B4416">
        <w:rPr>
          <w:rFonts w:ascii="Times New Roman" w:eastAsiaTheme="minorEastAsia" w:hAnsi="Times New Roman" w:cs="Times New Roman"/>
          <w:sz w:val="24"/>
          <w:szCs w:val="24"/>
          <w:lang w:eastAsia="ru-RU"/>
        </w:rPr>
        <w:t>восемьсот девяносто</w:t>
      </w:r>
      <w:r>
        <w:rPr>
          <w:rFonts w:ascii="Times New Roman" w:eastAsiaTheme="minorEastAsia" w:hAnsi="Times New Roman" w:cs="Times New Roman"/>
          <w:sz w:val="24"/>
          <w:szCs w:val="24"/>
          <w:lang w:eastAsia="ru-RU"/>
        </w:rPr>
        <w:t xml:space="preserve"> </w:t>
      </w:r>
      <w:r w:rsidRPr="007437B7">
        <w:rPr>
          <w:rFonts w:ascii="Times New Roman" w:eastAsiaTheme="minorEastAsia" w:hAnsi="Times New Roman" w:cs="Times New Roman"/>
          <w:sz w:val="24"/>
          <w:szCs w:val="24"/>
          <w:lang w:eastAsia="ru-RU"/>
        </w:rPr>
        <w:t xml:space="preserve">тысяч </w:t>
      </w:r>
      <w:r w:rsidR="008B4416">
        <w:rPr>
          <w:rFonts w:ascii="Times New Roman" w:eastAsiaTheme="minorEastAsia" w:hAnsi="Times New Roman" w:cs="Times New Roman"/>
          <w:sz w:val="24"/>
          <w:szCs w:val="24"/>
          <w:lang w:eastAsia="ru-RU"/>
        </w:rPr>
        <w:t>восемьсот девяносто восемь</w:t>
      </w:r>
      <w:r w:rsidRPr="007437B7">
        <w:rPr>
          <w:rFonts w:ascii="Times New Roman" w:eastAsiaTheme="minorEastAsia" w:hAnsi="Times New Roman" w:cs="Times New Roman"/>
          <w:sz w:val="24"/>
          <w:szCs w:val="24"/>
          <w:lang w:eastAsia="ru-RU"/>
        </w:rPr>
        <w:t>) рубл</w:t>
      </w:r>
      <w:r>
        <w:rPr>
          <w:rFonts w:ascii="Times New Roman" w:eastAsiaTheme="minorEastAsia" w:hAnsi="Times New Roman" w:cs="Times New Roman"/>
          <w:sz w:val="24"/>
          <w:szCs w:val="24"/>
          <w:lang w:eastAsia="ru-RU"/>
        </w:rPr>
        <w:t>ей</w:t>
      </w:r>
      <w:r w:rsidRPr="007437B7">
        <w:rPr>
          <w:rFonts w:ascii="Times New Roman" w:eastAsiaTheme="minorEastAsia" w:hAnsi="Times New Roman" w:cs="Times New Roman"/>
          <w:sz w:val="24"/>
          <w:szCs w:val="24"/>
          <w:lang w:eastAsia="ru-RU"/>
        </w:rPr>
        <w:t>.</w:t>
      </w: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0" w:name="_GoBack"/>
      <w:bookmarkEnd w:id="0"/>
    </w:p>
    <w:p w:rsidR="00CF34B0" w:rsidRPr="00CF34B0" w:rsidRDefault="00CF34B0" w:rsidP="00CF34B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CF34B0">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F756CB" w:rsidRPr="00F756CB" w:rsidRDefault="00F756CB" w:rsidP="009A4B56">
      <w:pPr>
        <w:spacing w:after="0" w:line="240" w:lineRule="auto"/>
        <w:ind w:firstLine="709"/>
        <w:contextualSpacing/>
        <w:jc w:val="both"/>
        <w:rPr>
          <w:rFonts w:ascii="Times New Roman" w:eastAsiaTheme="minorEastAsia" w:hAnsi="Times New Roman" w:cs="Times New Roman"/>
          <w:sz w:val="24"/>
          <w:szCs w:val="24"/>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086F90">
        <w:rPr>
          <w:rFonts w:ascii="Times New Roman" w:eastAsiaTheme="minorEastAsia" w:hAnsi="Times New Roman" w:cs="Times New Roman"/>
          <w:sz w:val="24"/>
          <w:szCs w:val="24"/>
          <w:lang w:eastAsia="ru-RU"/>
        </w:rPr>
        <w:t xml:space="preserve">изведено в </w:t>
      </w:r>
      <w:r w:rsidR="00CF34B0">
        <w:rPr>
          <w:rFonts w:ascii="Times New Roman" w:eastAsiaTheme="minorEastAsia" w:hAnsi="Times New Roman" w:cs="Times New Roman"/>
          <w:sz w:val="24"/>
          <w:szCs w:val="24"/>
          <w:lang w:eastAsia="ru-RU"/>
        </w:rPr>
        <w:t>1</w:t>
      </w:r>
      <w:r w:rsidR="00D36B9B">
        <w:rPr>
          <w:rFonts w:ascii="Times New Roman" w:eastAsiaTheme="minorEastAsia" w:hAnsi="Times New Roman" w:cs="Times New Roman"/>
          <w:sz w:val="24"/>
          <w:szCs w:val="24"/>
          <w:lang w:eastAsia="ru-RU"/>
        </w:rPr>
        <w:t>0</w:t>
      </w:r>
      <w:r w:rsidR="001C1380">
        <w:rPr>
          <w:rFonts w:ascii="Times New Roman" w:eastAsiaTheme="minorEastAsia" w:hAnsi="Times New Roman" w:cs="Times New Roman"/>
          <w:sz w:val="24"/>
          <w:szCs w:val="24"/>
          <w:lang w:eastAsia="ru-RU"/>
        </w:rPr>
        <w:t xml:space="preserve"> часов 00 минут </w:t>
      </w:r>
      <w:r w:rsidR="00D36B9B">
        <w:rPr>
          <w:rFonts w:ascii="Times New Roman" w:eastAsiaTheme="minorEastAsia" w:hAnsi="Times New Roman" w:cs="Times New Roman"/>
          <w:sz w:val="24"/>
          <w:szCs w:val="24"/>
          <w:lang w:eastAsia="ru-RU"/>
        </w:rPr>
        <w:t>05</w:t>
      </w:r>
      <w:r w:rsidR="001C1380">
        <w:rPr>
          <w:rFonts w:ascii="Times New Roman" w:eastAsiaTheme="minorEastAsia" w:hAnsi="Times New Roman" w:cs="Times New Roman"/>
          <w:sz w:val="24"/>
          <w:szCs w:val="24"/>
          <w:lang w:eastAsia="ru-RU"/>
        </w:rPr>
        <w:t xml:space="preserve"> </w:t>
      </w:r>
      <w:r w:rsidR="00D36B9B">
        <w:rPr>
          <w:rFonts w:ascii="Times New Roman" w:eastAsiaTheme="minorEastAsia" w:hAnsi="Times New Roman" w:cs="Times New Roman"/>
          <w:sz w:val="24"/>
          <w:szCs w:val="24"/>
          <w:lang w:eastAsia="ru-RU"/>
        </w:rPr>
        <w:t>июня</w:t>
      </w:r>
      <w:r w:rsidR="001C1380">
        <w:rPr>
          <w:rFonts w:ascii="Times New Roman" w:eastAsiaTheme="minorEastAsia" w:hAnsi="Times New Roman" w:cs="Times New Roman"/>
          <w:sz w:val="24"/>
          <w:szCs w:val="24"/>
          <w:lang w:eastAsia="ru-RU"/>
        </w:rPr>
        <w:t xml:space="preserve"> 2015 </w:t>
      </w:r>
      <w:r w:rsidR="004B2FEC" w:rsidRPr="004B2FEC">
        <w:rPr>
          <w:rFonts w:ascii="Times New Roman" w:eastAsiaTheme="minorEastAsia" w:hAnsi="Times New Roman" w:cs="Times New Roman"/>
          <w:sz w:val="24"/>
          <w:szCs w:val="24"/>
          <w:lang w:eastAsia="ru-RU"/>
        </w:rPr>
        <w:t>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420</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xml:space="preserve">, в </w:t>
      </w:r>
      <w:r w:rsidR="00CF34B0">
        <w:rPr>
          <w:rFonts w:ascii="Times New Roman" w:eastAsiaTheme="minorEastAsia" w:hAnsi="Times New Roman" w:cs="Times New Roman"/>
          <w:sz w:val="24"/>
          <w:szCs w:val="24"/>
          <w:lang w:eastAsia="ru-RU"/>
        </w:rPr>
        <w:t>З</w:t>
      </w:r>
      <w:r w:rsidR="000E027D" w:rsidRPr="00A62CCF">
        <w:rPr>
          <w:rFonts w:ascii="Times New Roman" w:eastAsiaTheme="minorEastAsia" w:hAnsi="Times New Roman" w:cs="Times New Roman"/>
          <w:sz w:val="24"/>
          <w:szCs w:val="24"/>
          <w:lang w:eastAsia="ru-RU"/>
        </w:rPr>
        <w:t>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1"/>
      <w:r w:rsidR="001C1380">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Default="00086F9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 отдела</w:t>
      </w:r>
      <w:r w:rsidR="001C6A76" w:rsidRPr="00086F90">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086F90">
        <w:rPr>
          <w:rFonts w:ascii="Times New Roman" w:eastAsiaTheme="minorEastAsia" w:hAnsi="Times New Roman" w:cs="Times New Roman"/>
          <w:sz w:val="24"/>
          <w:szCs w:val="24"/>
          <w:lang w:eastAsia="ru-RU"/>
        </w:rPr>
        <w:t xml:space="preserve">тел/факс 41-20-36, </w:t>
      </w:r>
      <w:hyperlink r:id="rId7" w:history="1">
        <w:r w:rsidR="002F1D44" w:rsidRPr="00B648D6">
          <w:rPr>
            <w:rStyle w:val="ab"/>
            <w:rFonts w:ascii="Times New Roman" w:eastAsiaTheme="minorEastAsia" w:hAnsi="Times New Roman" w:cs="Times New Roman"/>
            <w:sz w:val="24"/>
            <w:szCs w:val="24"/>
            <w:lang w:val="en-US" w:eastAsia="ru-RU"/>
          </w:rPr>
          <w:t>fkr</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kamchatka</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mail</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ru</w:t>
        </w:r>
      </w:hyperlink>
      <w:r w:rsidR="002F1D44">
        <w:rPr>
          <w:rFonts w:ascii="Times New Roman" w:eastAsiaTheme="minorEastAsia" w:hAnsi="Times New Roman" w:cs="Times New Roman"/>
          <w:sz w:val="24"/>
          <w:szCs w:val="24"/>
          <w:lang w:eastAsia="ru-RU"/>
        </w:rPr>
        <w:t>.</w:t>
      </w:r>
    </w:p>
    <w:p w:rsidR="002F1D44" w:rsidRPr="002F1D44" w:rsidRDefault="002F1D4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9"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5817BA">
        <w:rPr>
          <w:rFonts w:ascii="Times New Roman" w:eastAsiaTheme="minorEastAsia" w:hAnsi="Times New Roman" w:cs="Times New Roman"/>
          <w:sz w:val="24"/>
          <w:szCs w:val="24"/>
          <w:lang w:eastAsia="ru-RU"/>
        </w:rPr>
        <w:t>в (подрядчиков, исполнителей)»</w:t>
      </w:r>
      <w:r w:rsidR="007437B7">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w:t>
      </w:r>
      <w:r w:rsidR="00086F90">
        <w:rPr>
          <w:rFonts w:ascii="Times New Roman" w:eastAsiaTheme="minorEastAsia" w:hAnsi="Times New Roman" w:cs="Times New Roman"/>
          <w:sz w:val="24"/>
          <w:szCs w:val="24"/>
          <w:lang w:eastAsia="ru-RU"/>
        </w:rPr>
        <w:t>ружений не менее 2 (двух</w:t>
      </w:r>
      <w:r>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w:t>
      </w:r>
      <w:r w:rsidR="00FD08D3">
        <w:rPr>
          <w:rFonts w:ascii="Times New Roman" w:eastAsiaTheme="minorEastAsia" w:hAnsi="Times New Roman" w:cs="Times New Roman"/>
          <w:sz w:val="24"/>
          <w:szCs w:val="24"/>
          <w:lang w:eastAsia="ru-RU"/>
        </w:rPr>
        <w:t>е саморегулируемой организацией.</w:t>
      </w:r>
    </w:p>
    <w:p w:rsidR="004B2FEC" w:rsidRPr="00CF34B0"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CF34B0">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6384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E439CA">
        <w:rPr>
          <w:rFonts w:ascii="Times New Roman" w:eastAsiaTheme="minorEastAsia" w:hAnsi="Times New Roman" w:cs="Times New Roman"/>
          <w:sz w:val="24"/>
          <w:szCs w:val="24"/>
          <w:lang w:eastAsia="ru-RU"/>
        </w:rPr>
        <w:t>)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Pr="00A1248F" w:rsidRDefault="00AC6888" w:rsidP="00A1248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1D9F" w:rsidRDefault="00F61D9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45082E" w:rsidRDefault="0045082E"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086F90" w:rsidRDefault="00C45CA5" w:rsidP="00086F9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p w:rsidR="00A1248F" w:rsidRPr="00F14416" w:rsidRDefault="00A1248F"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3267E" w:rsidRDefault="00F3267E"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CD3E57">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CD3E57">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FD08D3"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w:t>
      </w:r>
      <w:r w:rsidR="00FD08D3">
        <w:rPr>
          <w:rFonts w:ascii="Times New Roman" w:eastAsiaTheme="minorEastAsia" w:hAnsi="Times New Roman" w:cs="Times New Roman"/>
          <w:sz w:val="24"/>
          <w:szCs w:val="24"/>
          <w:lang w:eastAsia="ru-RU"/>
        </w:rPr>
        <w:t xml:space="preserve">, выданное саморегулируемой организацией. </w:t>
      </w:r>
    </w:p>
    <w:p w:rsidR="004B2FEC" w:rsidRPr="004B2FEC"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w:t>
      </w:r>
      <w:r w:rsidRPr="004B2FEC">
        <w:rPr>
          <w:rFonts w:ascii="Times New Roman" w:eastAsiaTheme="minorEastAsia" w:hAnsi="Times New Roman" w:cs="Times New Roman"/>
          <w:sz w:val="24"/>
          <w:szCs w:val="24"/>
          <w:lang w:eastAsia="ru-RU"/>
        </w:rPr>
        <w:t xml:space="preserve">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0"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58" w:rsidRDefault="00695058" w:rsidP="00C45CA5">
      <w:pPr>
        <w:spacing w:after="0" w:line="240" w:lineRule="auto"/>
      </w:pPr>
      <w:r>
        <w:separator/>
      </w:r>
    </w:p>
  </w:endnote>
  <w:endnote w:type="continuationSeparator" w:id="0">
    <w:p w:rsidR="00695058" w:rsidRDefault="00695058"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58" w:rsidRDefault="00695058" w:rsidP="00C45CA5">
      <w:pPr>
        <w:spacing w:after="0" w:line="240" w:lineRule="auto"/>
      </w:pPr>
      <w:r>
        <w:separator/>
      </w:r>
    </w:p>
  </w:footnote>
  <w:footnote w:type="continuationSeparator" w:id="0">
    <w:p w:rsidR="00695058" w:rsidRDefault="00695058"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BC02F8"/>
    <w:multiLevelType w:val="hybridMultilevel"/>
    <w:tmpl w:val="90C8E520"/>
    <w:lvl w:ilvl="0" w:tplc="7F0EC1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
  </w:num>
  <w:num w:numId="3">
    <w:abstractNumId w:val="11"/>
  </w:num>
  <w:num w:numId="4">
    <w:abstractNumId w:val="12"/>
  </w:num>
  <w:num w:numId="5">
    <w:abstractNumId w:val="17"/>
  </w:num>
  <w:num w:numId="6">
    <w:abstractNumId w:val="5"/>
  </w:num>
  <w:num w:numId="7">
    <w:abstractNumId w:val="32"/>
  </w:num>
  <w:num w:numId="8">
    <w:abstractNumId w:val="10"/>
  </w:num>
  <w:num w:numId="9">
    <w:abstractNumId w:val="19"/>
  </w:num>
  <w:num w:numId="10">
    <w:abstractNumId w:val="13"/>
  </w:num>
  <w:num w:numId="11">
    <w:abstractNumId w:val="16"/>
  </w:num>
  <w:num w:numId="12">
    <w:abstractNumId w:val="1"/>
  </w:num>
  <w:num w:numId="13">
    <w:abstractNumId w:val="25"/>
  </w:num>
  <w:num w:numId="14">
    <w:abstractNumId w:val="21"/>
  </w:num>
  <w:num w:numId="15">
    <w:abstractNumId w:val="27"/>
  </w:num>
  <w:num w:numId="16">
    <w:abstractNumId w:val="2"/>
  </w:num>
  <w:num w:numId="17">
    <w:abstractNumId w:val="0"/>
  </w:num>
  <w:num w:numId="18">
    <w:abstractNumId w:val="28"/>
  </w:num>
  <w:num w:numId="19">
    <w:abstractNumId w:val="9"/>
  </w:num>
  <w:num w:numId="20">
    <w:abstractNumId w:val="8"/>
  </w:num>
  <w:num w:numId="21">
    <w:abstractNumId w:val="4"/>
  </w:num>
  <w:num w:numId="22">
    <w:abstractNumId w:val="22"/>
  </w:num>
  <w:num w:numId="23">
    <w:abstractNumId w:val="31"/>
  </w:num>
  <w:num w:numId="24">
    <w:abstractNumId w:val="29"/>
  </w:num>
  <w:num w:numId="25">
    <w:abstractNumId w:val="15"/>
  </w:num>
  <w:num w:numId="26">
    <w:abstractNumId w:val="6"/>
  </w:num>
  <w:num w:numId="27">
    <w:abstractNumId w:val="7"/>
  </w:num>
  <w:num w:numId="28">
    <w:abstractNumId w:val="18"/>
  </w:num>
  <w:num w:numId="29">
    <w:abstractNumId w:val="23"/>
  </w:num>
  <w:num w:numId="30">
    <w:abstractNumId w:val="24"/>
  </w:num>
  <w:num w:numId="31">
    <w:abstractNumId w:val="30"/>
  </w:num>
  <w:num w:numId="32">
    <w:abstractNumId w:val="2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3225"/>
    <w:rsid w:val="00066AF7"/>
    <w:rsid w:val="00082C82"/>
    <w:rsid w:val="00086F90"/>
    <w:rsid w:val="00096E95"/>
    <w:rsid w:val="000A62A4"/>
    <w:rsid w:val="000B28AF"/>
    <w:rsid w:val="000B61F9"/>
    <w:rsid w:val="000D1456"/>
    <w:rsid w:val="000E027D"/>
    <w:rsid w:val="00117946"/>
    <w:rsid w:val="001206B7"/>
    <w:rsid w:val="00127F9B"/>
    <w:rsid w:val="00136D1D"/>
    <w:rsid w:val="00154C4F"/>
    <w:rsid w:val="00154C81"/>
    <w:rsid w:val="00160A24"/>
    <w:rsid w:val="00160C00"/>
    <w:rsid w:val="001620B1"/>
    <w:rsid w:val="00172153"/>
    <w:rsid w:val="001726BF"/>
    <w:rsid w:val="00175638"/>
    <w:rsid w:val="001920A2"/>
    <w:rsid w:val="001C1380"/>
    <w:rsid w:val="001C6A76"/>
    <w:rsid w:val="001D1068"/>
    <w:rsid w:val="001D5CAD"/>
    <w:rsid w:val="001E4193"/>
    <w:rsid w:val="00205496"/>
    <w:rsid w:val="002122DF"/>
    <w:rsid w:val="00221C87"/>
    <w:rsid w:val="002259D4"/>
    <w:rsid w:val="0022659F"/>
    <w:rsid w:val="0027787F"/>
    <w:rsid w:val="002A150D"/>
    <w:rsid w:val="002A6686"/>
    <w:rsid w:val="002B5DCF"/>
    <w:rsid w:val="002B77BE"/>
    <w:rsid w:val="002C7FAD"/>
    <w:rsid w:val="002D1EFB"/>
    <w:rsid w:val="002D2AB1"/>
    <w:rsid w:val="002F1D44"/>
    <w:rsid w:val="002F64A2"/>
    <w:rsid w:val="0030692C"/>
    <w:rsid w:val="00307324"/>
    <w:rsid w:val="00326B5D"/>
    <w:rsid w:val="00356C6F"/>
    <w:rsid w:val="0038054E"/>
    <w:rsid w:val="00390675"/>
    <w:rsid w:val="003C31DA"/>
    <w:rsid w:val="0045082E"/>
    <w:rsid w:val="004738B9"/>
    <w:rsid w:val="004764DE"/>
    <w:rsid w:val="00494EB5"/>
    <w:rsid w:val="004B20EE"/>
    <w:rsid w:val="004B2FEC"/>
    <w:rsid w:val="004D05B4"/>
    <w:rsid w:val="005300FF"/>
    <w:rsid w:val="0053274B"/>
    <w:rsid w:val="0055624C"/>
    <w:rsid w:val="00567E71"/>
    <w:rsid w:val="005817BA"/>
    <w:rsid w:val="00583F4B"/>
    <w:rsid w:val="005A5347"/>
    <w:rsid w:val="005C027A"/>
    <w:rsid w:val="005C6EA8"/>
    <w:rsid w:val="005E4921"/>
    <w:rsid w:val="005F0208"/>
    <w:rsid w:val="00631A92"/>
    <w:rsid w:val="006403AE"/>
    <w:rsid w:val="00675C14"/>
    <w:rsid w:val="00682F89"/>
    <w:rsid w:val="00695058"/>
    <w:rsid w:val="006A0B2D"/>
    <w:rsid w:val="006B0CAA"/>
    <w:rsid w:val="006D5C9D"/>
    <w:rsid w:val="006F4612"/>
    <w:rsid w:val="00706ECA"/>
    <w:rsid w:val="00740450"/>
    <w:rsid w:val="007437B7"/>
    <w:rsid w:val="00757B2F"/>
    <w:rsid w:val="007967AB"/>
    <w:rsid w:val="007C09A4"/>
    <w:rsid w:val="007C400C"/>
    <w:rsid w:val="007D2482"/>
    <w:rsid w:val="007E174A"/>
    <w:rsid w:val="007E1A21"/>
    <w:rsid w:val="007F0129"/>
    <w:rsid w:val="00803526"/>
    <w:rsid w:val="008048C8"/>
    <w:rsid w:val="00850EE6"/>
    <w:rsid w:val="00872AC4"/>
    <w:rsid w:val="008A03F5"/>
    <w:rsid w:val="008A72F2"/>
    <w:rsid w:val="008B0589"/>
    <w:rsid w:val="008B4416"/>
    <w:rsid w:val="008E3B94"/>
    <w:rsid w:val="008F13B5"/>
    <w:rsid w:val="00942719"/>
    <w:rsid w:val="00947774"/>
    <w:rsid w:val="0095393D"/>
    <w:rsid w:val="00955B5B"/>
    <w:rsid w:val="00956ECB"/>
    <w:rsid w:val="00964860"/>
    <w:rsid w:val="009A4B56"/>
    <w:rsid w:val="009A4DE4"/>
    <w:rsid w:val="009D18D2"/>
    <w:rsid w:val="009E60D5"/>
    <w:rsid w:val="009F5DC8"/>
    <w:rsid w:val="00A1248F"/>
    <w:rsid w:val="00A2686D"/>
    <w:rsid w:val="00A26AFE"/>
    <w:rsid w:val="00A577EC"/>
    <w:rsid w:val="00A62CCF"/>
    <w:rsid w:val="00A64E59"/>
    <w:rsid w:val="00A932FA"/>
    <w:rsid w:val="00AB5E72"/>
    <w:rsid w:val="00AC6888"/>
    <w:rsid w:val="00AC722E"/>
    <w:rsid w:val="00AD536C"/>
    <w:rsid w:val="00B22AD2"/>
    <w:rsid w:val="00BB52A1"/>
    <w:rsid w:val="00C03451"/>
    <w:rsid w:val="00C213F8"/>
    <w:rsid w:val="00C253F5"/>
    <w:rsid w:val="00C344D2"/>
    <w:rsid w:val="00C45CA5"/>
    <w:rsid w:val="00C70CDD"/>
    <w:rsid w:val="00C73978"/>
    <w:rsid w:val="00CB56C1"/>
    <w:rsid w:val="00CB59C9"/>
    <w:rsid w:val="00CC6927"/>
    <w:rsid w:val="00CC770F"/>
    <w:rsid w:val="00CD3E57"/>
    <w:rsid w:val="00CF34B0"/>
    <w:rsid w:val="00D36150"/>
    <w:rsid w:val="00D36B9B"/>
    <w:rsid w:val="00D82505"/>
    <w:rsid w:val="00D85CCE"/>
    <w:rsid w:val="00DA1E33"/>
    <w:rsid w:val="00E226F2"/>
    <w:rsid w:val="00E24C41"/>
    <w:rsid w:val="00E4072D"/>
    <w:rsid w:val="00E439CA"/>
    <w:rsid w:val="00E51002"/>
    <w:rsid w:val="00E62967"/>
    <w:rsid w:val="00E6384F"/>
    <w:rsid w:val="00E63EF6"/>
    <w:rsid w:val="00E735C5"/>
    <w:rsid w:val="00E943AC"/>
    <w:rsid w:val="00EB0734"/>
    <w:rsid w:val="00EB36D3"/>
    <w:rsid w:val="00EC1ED9"/>
    <w:rsid w:val="00EC2DD5"/>
    <w:rsid w:val="00F14416"/>
    <w:rsid w:val="00F24054"/>
    <w:rsid w:val="00F24465"/>
    <w:rsid w:val="00F27021"/>
    <w:rsid w:val="00F30EFD"/>
    <w:rsid w:val="00F3267E"/>
    <w:rsid w:val="00F33AC0"/>
    <w:rsid w:val="00F467A2"/>
    <w:rsid w:val="00F50BD6"/>
    <w:rsid w:val="00F523DD"/>
    <w:rsid w:val="00F61D9F"/>
    <w:rsid w:val="00F6273A"/>
    <w:rsid w:val="00F756CB"/>
    <w:rsid w:val="00F87F4A"/>
    <w:rsid w:val="00F96830"/>
    <w:rsid w:val="00FA0930"/>
    <w:rsid w:val="00FC458A"/>
    <w:rsid w:val="00FC4C7C"/>
    <w:rsid w:val="00FD08D3"/>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F1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971772">
      <w:bodyDiv w:val="1"/>
      <w:marLeft w:val="0"/>
      <w:marRight w:val="0"/>
      <w:marTop w:val="0"/>
      <w:marBottom w:val="0"/>
      <w:divBdr>
        <w:top w:val="none" w:sz="0" w:space="0" w:color="auto"/>
        <w:left w:val="none" w:sz="0" w:space="0" w:color="auto"/>
        <w:bottom w:val="none" w:sz="0" w:space="0" w:color="auto"/>
        <w:right w:val="none" w:sz="0" w:space="0" w:color="auto"/>
      </w:divBdr>
    </w:div>
    <w:div w:id="15759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mailto:fkr.kamchat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25267.0" TargetMode="External"/><Relationship Id="rId4" Type="http://schemas.openxmlformats.org/officeDocument/2006/relationships/webSettings" Target="webSettings.xml"/><Relationship Id="rId9" Type="http://schemas.openxmlformats.org/officeDocument/2006/relationships/hyperlink" Target="garantF1://70417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4868</Words>
  <Characters>27752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14</cp:revision>
  <cp:lastPrinted>2015-04-20T20:52:00Z</cp:lastPrinted>
  <dcterms:created xsi:type="dcterms:W3CDTF">2015-04-17T03:13:00Z</dcterms:created>
  <dcterms:modified xsi:type="dcterms:W3CDTF">2015-05-25T05:14:00Z</dcterms:modified>
</cp:coreProperties>
</file>