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>1.5. Срок начала выполнения работ – не позднее 10 дней со дня заключения настоящего договора.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>
        <w:rPr>
          <w:rFonts w:ascii="Times New Roman" w:hAnsi="Times New Roman" w:cs="Times New Roman"/>
          <w:sz w:val="28"/>
          <w:szCs w:val="28"/>
        </w:rPr>
        <w:t>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9369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9F27E5">
        <w:rPr>
          <w:rFonts w:ascii="Times New Roman" w:hAnsi="Times New Roman" w:cs="Times New Roman"/>
          <w:sz w:val="28"/>
          <w:szCs w:val="28"/>
        </w:rPr>
        <w:t>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стоимости работ, указанной в п. 1.2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</w:t>
      </w:r>
      <w:bookmarkStart w:id="0" w:name="_GoBack"/>
      <w:bookmarkEnd w:id="0"/>
      <w:r w:rsidR="00451BAF">
        <w:rPr>
          <w:rFonts w:ascii="Times New Roman" w:hAnsi="Times New Roman" w:cs="Times New Roman"/>
          <w:sz w:val="28"/>
          <w:szCs w:val="28"/>
        </w:rPr>
        <w:t xml:space="preserve">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>, 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я 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A0323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Передать Подрядчику по акту объект в течении пяти дней после подписания </w:t>
      </w:r>
      <w:r w:rsidR="00192CD6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В </w:t>
      </w:r>
      <w:r w:rsidR="008A0323" w:rsidRPr="008A0323">
        <w:rPr>
          <w:rFonts w:ascii="Times New Roman" w:hAnsi="Times New Roman" w:cs="Times New Roman"/>
          <w:sz w:val="28"/>
          <w:szCs w:val="28"/>
        </w:rPr>
        <w:lastRenderedPageBreak/>
        <w:t>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lastRenderedPageBreak/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5D6B3E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9EF">
        <w:rPr>
          <w:rFonts w:ascii="Times New Roman" w:hAnsi="Times New Roman" w:cs="Times New Roman"/>
          <w:sz w:val="28"/>
          <w:szCs w:val="28"/>
        </w:rPr>
        <w:lastRenderedPageBreak/>
        <w:t>Подрядчик обязан письменно уведомить Заказчика о завершении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2E276A" w:rsidRPr="00130297">
        <w:rPr>
          <w:rFonts w:ascii="Times New Roman" w:hAnsi="Times New Roman" w:cs="Times New Roman"/>
          <w:sz w:val="28"/>
          <w:szCs w:val="28"/>
        </w:rPr>
        <w:t>оговора, указанной в п. 1.2.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lastRenderedPageBreak/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ти) процентов от стоимости работ, указанной в п. 1.2.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3.4. Договора, Подрядчик выплачивает Заказчику штраф в размере 10 % от стоимости работ, указанной в п. 1.2.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 xml:space="preserve">Сторона, не исполнившая или ненадлежащим </w:t>
      </w:r>
      <w:r w:rsidR="00CB526C" w:rsidRPr="00A524DE">
        <w:rPr>
          <w:rFonts w:ascii="Times New Roman" w:hAnsi="Times New Roman" w:cs="Times New Roman"/>
          <w:sz w:val="28"/>
          <w:szCs w:val="28"/>
        </w:rPr>
        <w:lastRenderedPageBreak/>
        <w:t>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3.4</w:t>
      </w:r>
      <w:r w:rsidRPr="00A524DE">
        <w:rPr>
          <w:rFonts w:ascii="Times New Roman" w:hAnsi="Times New Roman" w:cs="Times New Roman"/>
          <w:sz w:val="28"/>
          <w:szCs w:val="28"/>
        </w:rPr>
        <w:t>. 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C75FD"/>
    <w:rsid w:val="004F6F93"/>
    <w:rsid w:val="005057E3"/>
    <w:rsid w:val="005471A2"/>
    <w:rsid w:val="00553056"/>
    <w:rsid w:val="00555756"/>
    <w:rsid w:val="00555B23"/>
    <w:rsid w:val="00561998"/>
    <w:rsid w:val="005702C4"/>
    <w:rsid w:val="00576305"/>
    <w:rsid w:val="00577519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F78C9"/>
    <w:rsid w:val="009369FE"/>
    <w:rsid w:val="00940D87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15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171</cp:revision>
  <cp:lastPrinted>2015-01-20T22:09:00Z</cp:lastPrinted>
  <dcterms:created xsi:type="dcterms:W3CDTF">2014-06-26T06:16:00Z</dcterms:created>
  <dcterms:modified xsi:type="dcterms:W3CDTF">2015-04-09T23:42:00Z</dcterms:modified>
</cp:coreProperties>
</file>